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F4" w:rsidRDefault="005A5CF4" w:rsidP="005A5CF4">
      <w:pPr>
        <w:rPr>
          <w:lang w:val="nb-NO"/>
        </w:rPr>
      </w:pPr>
      <w:r>
        <w:rPr>
          <w:lang w:val="nb-NO"/>
        </w:rPr>
        <w:t xml:space="preserve">Biller fanget i vindusfeller på tre eiker (omkrets &gt;2 meter, ikke synlig hule) i Eikelunden ved Østensjøvannet sommeren 2014. Fellene var aktive fra 2. mai til 22. august og ble tømt hver andre uke. Billene er identifisert av Sindre </w:t>
      </w:r>
      <w:proofErr w:type="spellStart"/>
      <w:r>
        <w:rPr>
          <w:lang w:val="nb-NO"/>
        </w:rPr>
        <w:t>Ligaard</w:t>
      </w:r>
      <w:proofErr w:type="spellEnd"/>
      <w:r>
        <w:rPr>
          <w:lang w:val="nb-NO"/>
        </w:rPr>
        <w:t xml:space="preserve">. Grupperingen av arter følger </w:t>
      </w:r>
      <w:proofErr w:type="spellStart"/>
      <w:r>
        <w:rPr>
          <w:lang w:val="nb-NO"/>
        </w:rPr>
        <w:t>dødvedbasen</w:t>
      </w:r>
      <w:proofErr w:type="spellEnd"/>
      <w:r>
        <w:rPr>
          <w:lang w:val="nb-NO"/>
        </w:rPr>
        <w:t xml:space="preserve"> (</w:t>
      </w:r>
      <w:r w:rsidRPr="00011C2B">
        <w:rPr>
          <w:lang w:val="nb-NO"/>
        </w:rPr>
        <w:t>http://radon.uio.no/WDD/Login.aspx</w:t>
      </w:r>
      <w:proofErr w:type="gramStart"/>
      <w:r w:rsidRPr="00011C2B">
        <w:rPr>
          <w:lang w:val="nb-NO"/>
        </w:rPr>
        <w:t>?ReturnUrl</w:t>
      </w:r>
      <w:proofErr w:type="gramEnd"/>
      <w:r w:rsidRPr="00011C2B">
        <w:rPr>
          <w:lang w:val="nb-NO"/>
        </w:rPr>
        <w:t>=%2Fwdd%2FDefault.aspx</w:t>
      </w:r>
      <w:r>
        <w:rPr>
          <w:lang w:val="nb-NO"/>
        </w:rPr>
        <w:t>)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835"/>
        <w:gridCol w:w="1399"/>
        <w:gridCol w:w="954"/>
        <w:gridCol w:w="576"/>
        <w:gridCol w:w="561"/>
        <w:gridCol w:w="497"/>
        <w:gridCol w:w="426"/>
        <w:gridCol w:w="141"/>
        <w:gridCol w:w="380"/>
        <w:gridCol w:w="471"/>
      </w:tblGrid>
      <w:tr w:rsidR="005A5CF4" w:rsidRPr="00694AC0" w:rsidTr="002C7A79">
        <w:trPr>
          <w:trHeight w:val="435"/>
        </w:trPr>
        <w:tc>
          <w:tcPr>
            <w:tcW w:w="283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A5CF4" w:rsidRPr="00BB553B" w:rsidRDefault="005A5CF4" w:rsidP="002C7A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A5CF4" w:rsidRPr="00BB553B" w:rsidRDefault="005A5CF4" w:rsidP="002C7A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A5CF4" w:rsidRPr="00BB553B" w:rsidRDefault="005A5CF4" w:rsidP="002C7A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2183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A5CF4" w:rsidRPr="00BB553B" w:rsidRDefault="005A5CF4" w:rsidP="002C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BB55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Feller på eiker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:rsidR="005A5CF4" w:rsidRPr="00D51621" w:rsidRDefault="005A5CF4" w:rsidP="002C7A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</w:tr>
      <w:tr w:rsidR="005A5CF4" w:rsidRPr="00D51621" w:rsidTr="002C7A79">
        <w:trPr>
          <w:trHeight w:val="435"/>
        </w:trPr>
        <w:tc>
          <w:tcPr>
            <w:tcW w:w="2835" w:type="dxa"/>
            <w:shd w:val="clear" w:color="auto" w:fill="auto"/>
            <w:noWrap/>
            <w:vAlign w:val="bottom"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Eik1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Eik2</w:t>
            </w: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5CF4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   Eik3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</w:tr>
      <w:tr w:rsidR="005A5CF4" w:rsidRPr="00D51621" w:rsidTr="002C7A79">
        <w:trPr>
          <w:trHeight w:val="43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Arter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4A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Eik/død ved tilknytning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4A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Rødliste-kategori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4A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Ved grav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4" w:rsidRPr="00694AC0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4A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Ved sti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    I skog</w:t>
            </w:r>
          </w:p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Høy    Lav</w:t>
            </w:r>
            <w:proofErr w:type="gram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b-NO"/>
              </w:rPr>
              <w:t>Totalt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BB553B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BB553B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Dromius</w:t>
            </w:r>
            <w:proofErr w:type="spellEnd"/>
            <w:r w:rsidRPr="00BB553B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53B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quadrimaculatus</w:t>
            </w:r>
            <w:proofErr w:type="spellEnd"/>
            <w:r w:rsidRPr="00BB553B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Eikespesialist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Bibloporus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bicolor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Ischnoglossa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prolixa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Haploglossa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villosula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Phloeopora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testacea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Acrotona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fungi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Amischa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analis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Leptusa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fumida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Quedius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xanthopus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Microrhagus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lepidus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Trixagus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carinifrons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Trixagus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dermestoides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Athous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subfuscus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Melanotus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castanipes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Dalopius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marginatus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Malthinus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frontalis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Malthodes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spp.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Hemicoelus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canaliculatus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E34296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E34296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Dorcatoma</w:t>
            </w:r>
            <w:proofErr w:type="spellEnd"/>
            <w:r w:rsidRPr="00E34296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296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chrysomelina</w:t>
            </w:r>
            <w:proofErr w:type="spellEnd"/>
            <w:r w:rsidRPr="00E34296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Eikespesialist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Trichoceble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memnonia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Dasytes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plumbeus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Anthocomus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rufus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Meligethes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atratus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Soronia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grisea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Cychramus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luteus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Cryptophagus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micaceus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Cryptophagus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scanicus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Antherophagus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pallens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Atomaria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turgida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Dacne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bipustulata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Byturus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tomentosus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Cerylon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ferrugineum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Latridius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hirtus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Enicmus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planipennis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Enicmus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testaceus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Dienerella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vincenti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Corticarina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similata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Orthocis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alni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Anaspis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thoracica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Anaspis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rufilabris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Strophosoma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capitatum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Hylastes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cunicularius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Hylesinus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varius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Eiketilknyttet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Pityogenes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chalcographus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Pityophthorus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lichtensteinii</w:t>
            </w:r>
            <w:proofErr w:type="spellEnd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AnnenDødVed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Sum </w:t>
            </w:r>
            <w:proofErr w:type="spellStart"/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antall</w:t>
            </w:r>
            <w:proofErr w:type="spellEnd"/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individer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5A5CF4" w:rsidRPr="00D51621" w:rsidTr="002C7A79">
        <w:trPr>
          <w:gridAfter w:val="1"/>
          <w:wAfter w:w="471" w:type="dxa"/>
          <w:trHeight w:val="43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Sum </w:t>
            </w:r>
            <w:proofErr w:type="spellStart"/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antall</w:t>
            </w:r>
            <w:proofErr w:type="spellEnd"/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arter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CF4" w:rsidRPr="00D51621" w:rsidRDefault="005A5CF4" w:rsidP="002C7A7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6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</w:tr>
    </w:tbl>
    <w:p w:rsidR="005A5CF4" w:rsidRPr="00011C2B" w:rsidRDefault="005A5CF4" w:rsidP="005A5CF4">
      <w:pPr>
        <w:rPr>
          <w:lang w:val="nb-NO"/>
        </w:rPr>
      </w:pPr>
      <w:r>
        <w:rPr>
          <w:lang w:val="nb-NO"/>
        </w:rPr>
        <w:t>Eikene: 1. Ved grav (</w:t>
      </w:r>
      <w:r w:rsidRPr="00871D2E">
        <w:rPr>
          <w:color w:val="000000"/>
          <w:lang w:val="nb-NO"/>
        </w:rPr>
        <w:t xml:space="preserve">WGS84, </w:t>
      </w:r>
      <w:r>
        <w:rPr>
          <w:lang w:val="nb-NO"/>
        </w:rPr>
        <w:t>bredde: 59,89013, lengde; 10,81879) 200 cm omkrets ved brysthøyde (130 over bakken), 2. ved sti (</w:t>
      </w:r>
      <w:r w:rsidRPr="00871D2E">
        <w:rPr>
          <w:color w:val="000000"/>
          <w:lang w:val="nb-NO"/>
        </w:rPr>
        <w:t xml:space="preserve">WGS84, </w:t>
      </w:r>
      <w:r>
        <w:rPr>
          <w:lang w:val="nb-NO"/>
        </w:rPr>
        <w:t>bredde: 59,89015 lengde: 10,81911) 250 cm i omkrets ved brysthøyde og 3. i skog (</w:t>
      </w:r>
      <w:r w:rsidRPr="00871D2E">
        <w:rPr>
          <w:color w:val="000000"/>
          <w:lang w:val="nb-NO"/>
        </w:rPr>
        <w:t xml:space="preserve">WGS84, </w:t>
      </w:r>
      <w:r>
        <w:rPr>
          <w:lang w:val="nb-NO"/>
        </w:rPr>
        <w:t xml:space="preserve">bredde: 59,88994, lengde: 10,81869) 279 cm i omkrets ved brysthøyde. Alle de tre eikene hadde om lag </w:t>
      </w:r>
      <w:proofErr w:type="gramStart"/>
      <w:r>
        <w:rPr>
          <w:lang w:val="nb-NO"/>
        </w:rPr>
        <w:t>15%</w:t>
      </w:r>
      <w:proofErr w:type="gramEnd"/>
      <w:r>
        <w:rPr>
          <w:lang w:val="nb-NO"/>
        </w:rPr>
        <w:t xml:space="preserve"> døde grener i kronen, og tre </w:t>
      </w:r>
      <w:proofErr w:type="spellStart"/>
      <w:r>
        <w:rPr>
          <w:lang w:val="nb-NO"/>
        </w:rPr>
        <w:t>nr</w:t>
      </w:r>
      <w:proofErr w:type="spellEnd"/>
      <w:r>
        <w:rPr>
          <w:lang w:val="nb-NO"/>
        </w:rPr>
        <w:t xml:space="preserve"> 3 (i skog) var det treet med størst krone. </w:t>
      </w:r>
    </w:p>
    <w:p w:rsidR="00B30819" w:rsidRPr="005A5CF4" w:rsidRDefault="00B30819">
      <w:pPr>
        <w:rPr>
          <w:lang w:val="nb-NO"/>
        </w:rPr>
      </w:pPr>
      <w:bookmarkStart w:id="0" w:name="_GoBack"/>
      <w:bookmarkEnd w:id="0"/>
    </w:p>
    <w:sectPr w:rsidR="00B30819" w:rsidRPr="005A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F4"/>
    <w:rsid w:val="005A5CF4"/>
    <w:rsid w:val="00B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F4"/>
    <w:pPr>
      <w:spacing w:after="160" w:line="259" w:lineRule="auto"/>
    </w:pPr>
    <w:rPr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F4"/>
    <w:pPr>
      <w:spacing w:after="160" w:line="259" w:lineRule="auto"/>
    </w:pPr>
    <w:rPr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Dan</dc:creator>
  <cp:lastModifiedBy>Leif Dan</cp:lastModifiedBy>
  <cp:revision>1</cp:revision>
  <dcterms:created xsi:type="dcterms:W3CDTF">2015-06-07T09:24:00Z</dcterms:created>
  <dcterms:modified xsi:type="dcterms:W3CDTF">2015-06-07T09:25:00Z</dcterms:modified>
</cp:coreProperties>
</file>